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91D" w:rsidRDefault="008C491D">
      <w:r>
        <w:t>APEL NACZELNEJ RADY LEKARSKIEJ z dnia 25 stycznia 20</w:t>
      </w:r>
      <w:bookmarkStart w:id="0" w:name="_GoBack"/>
      <w:bookmarkEnd w:id="0"/>
      <w:r>
        <w:t xml:space="preserve">19 r. do Ministra Zdrowia o uzupełnienie katalogu świadczeń gwarantowanych z zakresu leczenia stomatologicznego o świadczenie usunięcia wypełnienia amalgamatowego </w:t>
      </w:r>
    </w:p>
    <w:p w:rsidR="008C491D" w:rsidRDefault="008C491D">
      <w:r>
        <w:t xml:space="preserve">Naczelna Rada Lekarka apeluje do Ministra Zdrowia o uzupełnienie katalogu świadczeń gwarantowanych z zakresu leczenia stomatologicznego zawartego w rozporządzeniu Ministra Zdrowia z dnia 6 listopada 2013 r. w sprawie świadczeń gwarantowanych z zakresu leczenia stomatologicznego o świadczenie usunięcia wypełnienia amalgamatowego z jednoczesnym przypisaniem ww. świadczeniu - do czasu dokonania taryfikacji świadczeń - nie mniej niż 60 punktów rozliczeniowych. </w:t>
      </w:r>
    </w:p>
    <w:p w:rsidR="008C491D" w:rsidRDefault="008C491D">
      <w:r>
        <w:t xml:space="preserve">Wobec nowych obowiązków nałożonych na lekarzy dentystów w art. 10 rozporządzenia Parlamentu Europejskiego i Rady (UE) 2017/852 z dnia 17 maja 2017 r. w sprawie rtęci oraz uchylającego rozporządzenie (WE) nr 1102/2008, związanych z koniecznością instalacji od dnia 1 stycznia 2019 r. separatorów amalgamatu oraz mając na uwadze, że w wykazie materiałów stomatologicznych stosowanych przy udzielaniu świadczeń gwarantowanych, określonych w załączniku nr 11 do rozporządzenia Ministra Zdrowia z dnia 6 listopada 2013 r. w sprawie świadczeń gwarantowanych z zakresu leczenia stomatologicznego znajduje się amalgamat, wniosek ten, podyktowany względami bezpieczeństwa pacjentów oraz lekarzy dentystów jest jak najbardziej zasadny. </w:t>
      </w:r>
    </w:p>
    <w:p w:rsidR="00CF7F48" w:rsidRDefault="008C491D">
      <w:r>
        <w:t>Wycena publicznych świadczeń stomatologicznych, będąca wynikiem niezmienianej od lat, oraz znacznie zróżnicowanej w obrębie kraju wyceny punktu rozliczeniowego - nie pozwala gabinetom stomatologicznym na sfinansowanie inwestycji instalacji separatorów amalgamatu z bieżących przychodów kontraktu stomatologicznego. Wobec powyższego określenie wprost w rozporządzeniu liczby 60 punktów rozliczeniowych zabezpieczy stały poziom wyceny tego świadczenia, do czasu rzetelnej taryfikacji wszystkich świadczeń stomatologicznych.</w:t>
      </w:r>
    </w:p>
    <w:p w:rsidR="008C491D" w:rsidRDefault="008C491D"/>
    <w:p w:rsidR="008C491D" w:rsidRDefault="008C491D"/>
    <w:p w:rsidR="008C491D" w:rsidRDefault="008C491D"/>
    <w:p w:rsidR="008C491D" w:rsidRDefault="008C491D"/>
    <w:p w:rsidR="008C491D" w:rsidRDefault="008C491D"/>
    <w:p w:rsidR="008C491D" w:rsidRDefault="008C491D"/>
    <w:sectPr w:rsidR="008C4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91D"/>
    <w:rsid w:val="00286507"/>
    <w:rsid w:val="008C491D"/>
    <w:rsid w:val="009D2B07"/>
    <w:rsid w:val="00C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0655D"/>
  <w15:chartTrackingRefBased/>
  <w15:docId w15:val="{907CA8F0-D8FE-49C0-B278-A20B1418F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Stańczyk</dc:creator>
  <cp:keywords/>
  <dc:description/>
  <cp:lastModifiedBy>Mirosław Stańczyk</cp:lastModifiedBy>
  <cp:revision>1</cp:revision>
  <dcterms:created xsi:type="dcterms:W3CDTF">2019-01-25T16:37:00Z</dcterms:created>
  <dcterms:modified xsi:type="dcterms:W3CDTF">2019-01-25T16:49:00Z</dcterms:modified>
</cp:coreProperties>
</file>